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5A4" w:rsidRPr="00E445A4" w:rsidRDefault="00E445A4" w:rsidP="00E445A4">
      <w:pPr>
        <w:spacing w:after="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60534C"/>
          <w:sz w:val="36"/>
          <w:szCs w:val="36"/>
          <w:lang w:eastAsia="ru-RU"/>
        </w:rPr>
      </w:pPr>
      <w:r w:rsidRPr="00E445A4">
        <w:rPr>
          <w:rFonts w:ascii="Calibri" w:eastAsia="Times New Roman" w:hAnsi="Calibri" w:cs="Calibri"/>
          <w:b/>
          <w:bCs/>
          <w:color w:val="60534C"/>
          <w:sz w:val="36"/>
          <w:szCs w:val="36"/>
          <w:lang w:eastAsia="ru-RU"/>
        </w:rPr>
        <w:t>Проектная декларация</w:t>
      </w:r>
    </w:p>
    <w:p w:rsidR="00E445A4" w:rsidRPr="00E445A4" w:rsidRDefault="00E445A4" w:rsidP="00E445A4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r w:rsidRPr="00E445A4">
        <w:rPr>
          <w:rFonts w:ascii="Calibri" w:eastAsia="Times New Roman" w:hAnsi="Calibri" w:cs="Calibri"/>
          <w:b/>
          <w:bCs/>
          <w:color w:val="60534C"/>
          <w:sz w:val="21"/>
          <w:szCs w:val="21"/>
          <w:lang w:eastAsia="ru-RU"/>
        </w:rPr>
        <w:t>Общество с ограниченной ответственностью «Восток»</w:t>
      </w:r>
    </w:p>
    <w:p w:rsidR="00E445A4" w:rsidRPr="00E445A4" w:rsidRDefault="00E445A4" w:rsidP="00E445A4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r w:rsidRPr="00E445A4">
        <w:rPr>
          <w:rFonts w:ascii="Calibri" w:eastAsia="Times New Roman" w:hAnsi="Calibri" w:cs="Calibri"/>
          <w:b/>
          <w:bCs/>
          <w:color w:val="60534C"/>
          <w:sz w:val="21"/>
          <w:szCs w:val="21"/>
          <w:lang w:eastAsia="ru-RU"/>
        </w:rPr>
        <w:t>по строительству многоквартирного жилого дома с нежилыми помещениями</w:t>
      </w:r>
    </w:p>
    <w:p w:rsidR="00E445A4" w:rsidRPr="00E445A4" w:rsidRDefault="00E445A4" w:rsidP="00E445A4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r w:rsidRPr="00E445A4">
        <w:rPr>
          <w:rFonts w:ascii="Calibri" w:eastAsia="Times New Roman" w:hAnsi="Calibri" w:cs="Calibri"/>
          <w:b/>
          <w:bCs/>
          <w:color w:val="60534C"/>
          <w:sz w:val="21"/>
          <w:szCs w:val="21"/>
          <w:lang w:eastAsia="ru-RU"/>
        </w:rPr>
        <w:t>(2-я очередь строительства: 1-2 секция)</w:t>
      </w:r>
    </w:p>
    <w:p w:rsidR="00E445A4" w:rsidRPr="00E445A4" w:rsidRDefault="00E445A4" w:rsidP="00E445A4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bookmarkStart w:id="0" w:name="_GoBack"/>
      <w:bookmarkEnd w:id="0"/>
    </w:p>
    <w:p w:rsidR="00E445A4" w:rsidRPr="00E445A4" w:rsidRDefault="00E445A4" w:rsidP="00E445A4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r w:rsidRPr="00E445A4">
        <w:rPr>
          <w:rFonts w:ascii="Calibri" w:eastAsia="Times New Roman" w:hAnsi="Calibri" w:cs="Calibri"/>
          <w:b/>
          <w:bCs/>
          <w:color w:val="60534C"/>
          <w:lang w:eastAsia="ru-RU"/>
        </w:rPr>
        <w:t>Информация о застройщике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3"/>
        <w:gridCol w:w="7166"/>
      </w:tblGrid>
      <w:tr w:rsidR="00E445A4" w:rsidRPr="00E445A4" w:rsidTr="00E445A4">
        <w:trPr>
          <w:tblCellSpacing w:w="15" w:type="dxa"/>
        </w:trPr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 Фирменное наименование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Местонахождение</w:t>
            </w:r>
          </w:p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Режим работы</w:t>
            </w:r>
          </w:p>
        </w:tc>
        <w:tc>
          <w:tcPr>
            <w:tcW w:w="3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Общество с ограниченной ответственностью «Восток»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(место нахождение):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 390512, Рязанская область, Рязанский район, с. 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Александрово</w:t>
            </w:r>
            <w:proofErr w:type="spellEnd"/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Адрес ООО «Группа компаний «ЕДИНСТВО»: 390013, Рязанская область, г. Рязань, Вокзальная улица, дом 41, 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пом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 Н5.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Пн-Пт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 – с 9.00 до 19.00, 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Сб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 – с 09.00 до 14.00, 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Вс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 – выходной.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Тел.: (4912) 900-700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 Государственная регистрация</w:t>
            </w:r>
          </w:p>
        </w:tc>
        <w:tc>
          <w:tcPr>
            <w:tcW w:w="3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Общество с ограниченной ответственностью «Восток»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зарегистрировано 17 июня 2013 года МРИФНС России №6 по Рязанской области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ОГРН 1136215000778, ИНН 6215026987, КПП 621501001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 Учредители</w:t>
            </w:r>
          </w:p>
        </w:tc>
        <w:tc>
          <w:tcPr>
            <w:tcW w:w="3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Физические лица: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Сорокин Андрей Владимирович – 1/3 доля уставного капитала,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Баталова Ирина Анатольевна – 1/3 доля уставного капитала,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Саморуков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 Юрий Васильевич 1/3 доля уставного капитала.</w:t>
            </w:r>
          </w:p>
        </w:tc>
      </w:tr>
      <w:tr w:rsidR="00E445A4" w:rsidRPr="00E445A4" w:rsidTr="00E445A4">
        <w:trPr>
          <w:trHeight w:val="1013"/>
          <w:tblCellSpacing w:w="15" w:type="dxa"/>
        </w:trPr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 Участие в проектах строительства за 3 предшествующих года)</w:t>
            </w:r>
          </w:p>
        </w:tc>
        <w:tc>
          <w:tcPr>
            <w:tcW w:w="3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Застройщик осуществляет строительство многоквартирного жилого дома с нежилыми помещениями и подземной автостоянкой (1-я очередь строительства: 3-4 секция) по строительному адресу: 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Рязанская область,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город Рязань, улица Тимуровцев, дом 5а (1-я очередь строительства: 3-4 секция).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Предполагаемый срок получения разрешения на ввод в эксплуатацию строящегося дома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E445A4">
              <w:rPr>
                <w:rFonts w:ascii="Times New Roman" w:eastAsia="Times New Roman" w:hAnsi="Times New Roman" w:cs="Times New Roman"/>
                <w:lang w:val="en-US" w:eastAsia="ru-RU"/>
              </w:rPr>
              <w:t>IV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квартал 2017 г.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Срок окончания проекта (передачи) – до 30 июня 2018 года включительно.</w:t>
            </w:r>
          </w:p>
        </w:tc>
      </w:tr>
      <w:tr w:rsidR="00E445A4" w:rsidRPr="00E445A4" w:rsidTr="00E445A4">
        <w:trPr>
          <w:trHeight w:val="1187"/>
          <w:tblCellSpacing w:w="15" w:type="dxa"/>
        </w:trPr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 Лицензируемая деятельность</w:t>
            </w:r>
          </w:p>
        </w:tc>
        <w:tc>
          <w:tcPr>
            <w:tcW w:w="3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Застройщиком с 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Обществом с ограниченной ответственностью «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СтройАльянс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, имеющим Свидетельство о допуске к  определенному виду или видам работам, которые оказывают влияние на безопасность объектов капитального строительства № 0022.07-2014-6229034025-С-135, выданного СРО НП «Объединение Рязанских строителей» 27.02.2014 г. на основании Решения Правления СРО НП «Объединение Рязанских строителей», протокол №139 от 27.02.2014 года на неограниченный срок, заключен 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Договор на выполнение строительного контроля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 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 02 февраля 2015 г.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Застройщиком с 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Обществом с ограниченной ответственностью «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СтройАльянс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, имеющим Свидетельство о допуске к  определенному виду или видам работам, которые оказывают влияние на безопасность объектов капитального строительства № 0022.07-2014-6229034025-С-135, выданного СРО НП «Объединение Рязанских строителей» 27.02.2014 г. на основании Решения Правления СРО НП «Объединение Рязанских строителей», протокол №139 от 27.02.2014 года на неограниченный срок, заключен 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Договор подряда от 02 февраля 2015 г.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6. Финансовый результат текущего года, размер кредиторской и дебиторской задолженности на день опубликования проектной декларации</w:t>
            </w:r>
          </w:p>
        </w:tc>
        <w:tc>
          <w:tcPr>
            <w:tcW w:w="3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Финансовый результат – 2 891 974 рублей;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Размер кредиторской задолженности – 5 227 374 рублей;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Размер дебиторской задолженности – 15 232 582 рублей.</w:t>
            </w:r>
          </w:p>
        </w:tc>
      </w:tr>
    </w:tbl>
    <w:p w:rsidR="00E445A4" w:rsidRPr="00E445A4" w:rsidRDefault="00E445A4" w:rsidP="00E445A4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r w:rsidRPr="00E445A4">
        <w:rPr>
          <w:rFonts w:ascii="Calibri" w:eastAsia="Times New Roman" w:hAnsi="Calibri" w:cs="Calibri"/>
          <w:color w:val="60534C"/>
          <w:lang w:eastAsia="ru-RU"/>
        </w:rPr>
        <w:br/>
      </w:r>
      <w:r w:rsidRPr="00E445A4">
        <w:rPr>
          <w:rFonts w:ascii="Calibri" w:eastAsia="Times New Roman" w:hAnsi="Calibri" w:cs="Calibri"/>
          <w:b/>
          <w:bCs/>
          <w:color w:val="60534C"/>
          <w:lang w:eastAsia="ru-RU"/>
        </w:rPr>
        <w:t>Информация о проекте строительства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3"/>
        <w:gridCol w:w="7026"/>
      </w:tblGrid>
      <w:tr w:rsidR="00E445A4" w:rsidRPr="00E445A4" w:rsidTr="00E445A4">
        <w:trPr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 Цель проекта строительства, этапы, сроки его реализации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Строительство многоквартирного жилого дома с нежилыми помещениями (2-я очередь строительства: 1-2 секция).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Строительный адрес: 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Рязанская область,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город Рязань, улица Тимуровцев, дом 5а (2-я очередь строительства: 1-2 секция).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Срок окончания проекта (передачи) – до 30 июня 2019 года включительно.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 Результат государственной экспертизы проектной документации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Положительное заключение негосударственной экспертизы № 77-1-4-0190-14 от 18 декабря 2014 г., выданное Обществом с ограниченной ответственностью «Межрегиональный институт экспертизы». (Свидетельство об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 №РОСС </w:t>
            </w:r>
            <w:r w:rsidRPr="00E445A4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. 0001.610160 от 30.08.2013 г., №РОСС </w:t>
            </w:r>
            <w:r w:rsidRPr="00E445A4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. 0001.610206 от 04.12.2013г.)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 Разрешение на строительство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Разрешение на строительство №</w:t>
            </w:r>
            <w:r w:rsidRPr="00E445A4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62326000-3/2015/РС от 21 января 2015 г. выдано Администрацией г. Рязани.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 Права на земельный участок, реквизиты правоустанавливающих документов, собственник земельного участка, кадастровый номер, площадь земельного участка, предоставленного для строительства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Застройщик на праве аренды владеет: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- </w:t>
            </w:r>
            <w:r w:rsidRPr="00E445A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Земельным участком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 с кадастровым № 62:29:0080093:419, общей площадью – 26 958 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кв.м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., расположенным по адресу: Рязанская область, г. Рязань, ул. Тимуровцев (Октябрьский район) на основании Договора аренды №КС-26-13 Ю земельного участка с кадастровым № 62:29:0080093:419 от 16.09.2013 г., зарегистрированного Управлением 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Росреестра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 по Рязанской области 24.09.2013 года.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Собственник земельного участка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- Муниципальное образование - город Рязань.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 </w:t>
            </w:r>
          </w:p>
        </w:tc>
      </w:tr>
      <w:tr w:rsidR="00E445A4" w:rsidRPr="00E445A4" w:rsidTr="00E445A4">
        <w:trPr>
          <w:trHeight w:val="387"/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 Элементы благоустройства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Проектом предусматривается площадки для игр детей, отдыха взрослого населения и для различных хозяйственных целей. Вдоль 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тротуаров предусмотрена посадка кустарниковых насаждений. Также предусмотрено устройство газонов и цветников.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Проектные решения обеспечивают возможность беспрепятственного доступа маломобильных групп населения в здание дома. Лестницы по пути движения от входов в подъезд до лифтов дублируются пандусами.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6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. 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Местоположение многоквартирного дома, его описание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house"/>
            <w:r w:rsidRPr="00E445A4">
              <w:rPr>
                <w:rFonts w:ascii="Times New Roman" w:eastAsia="Times New Roman" w:hAnsi="Times New Roman" w:cs="Times New Roman"/>
                <w:color w:val="60534C"/>
                <w:lang w:eastAsia="ru-RU"/>
              </w:rPr>
              <w:t>      </w:t>
            </w:r>
            <w:bookmarkEnd w:id="1"/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305425" cy="3438525"/>
                  <wp:effectExtent l="0" t="0" r="9525" b="9525"/>
                  <wp:docPr id="1" name="Рисунок 1" descr="http://old.edinstvo62.ru/houses/114/declaration_pl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old.edinstvo62.ru/houses/114/declaration_pl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425" cy="343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     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Участок строительства многоквартирного жилого дома с нежилыми помещениями (2-я очередь строительства: 1-2 </w:t>
            </w:r>
            <w:proofErr w:type="gram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секция)(</w:t>
            </w:r>
            <w:proofErr w:type="gram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далее – 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«Здание дома»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) расположен в Октябрьском округе г. Рязани.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       Здание дома развернуто под углом к ул. Тимуровцев, что продиктовано необходимостью обеспечить нормативную инсоляцию квартир.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Здание дома состоит из 2-х секций (1 подъезд - 20 жилых этажей, 2 подъезд – 25 жилых этажей).  На все этажи предусмотрен подъем при помощи трех лифтов.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На первом этаже здания дома запроектированы встроенно-пристроенные нежилые помещения, а также частично квартиры.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Под первым этажом проектом предусматривается технический этаж для дальнейшего размещения коммуникаций, помещений технического назначения, а также в местах отсутствия коммуникаций, нежилых помещений (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внеквартирных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хозяйственных кладовых).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На все этажи жилых секций предусмотрен подъем при помощи трех лифтов (грузоподъемностью 1000 кг и 600 кг).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  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 Конструктивная схема представляет собой монолитную рамно-связевую каркасную систему с диафрагмами жесткости на комбинированном монолитном свайно-плитном фундаменте. Общая устойчивость и жесткость секций обеспечивается пространственной работой системы вертикальных, горизонтальных диафрагм жесткости и конструктивных элементов каркаса. Роль вертикальных диафрагм жесткости выполняют монолитные железобетонные стены, расположенные в продольном и поперечном направлениях здания 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дома.  Горизонтальными диафрагмами жесткости являются железобетонные диски междуэтажных перекрытий.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Для жилых секций принят комбинированный монолитный свайно-плитный фундамент. Сваи приняты забивные.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Несущие конструкции надземной части решены в монолитном железобетонном каркасе.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Наружные стены типовых этажей– кирпичные с утеплением негорючими 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минераловатными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 плитами с последующим оштукатуриванием и окраской.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Перекрытия – 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безбалочные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, монолитные железобетонные плиты.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Кровля здания дома– плоская, не эксплуатируемая.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Оконные проемы и лоджии (балконов) остекляются ПВХ-профилем.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Все квартиры имеют необходимый набор жилых и вспомогательных помещений.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В здании дома запроектирована система хозяйственно-питьевого-противопожарного водопровода от существующей водопроводной сети города. Водоснабжение нежилых помещений предусмотрено самостоятельной системой от ввода водопровода. Для учета расхода воды на нужды здания дома предусматривается комбинированный счетчик холодной воды с импульсным выходом. Для учета расхода воды на нужды нежилых помещений предусматривается счетчик холодной воды с импульсным выходом. На ответвлениях в каждую квартиру и нежилые помещения монтируются счетчики холодной воды.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Водоотведение хозяйственно-бытовых сточных вод от здания дома предусматривается в существующих канализационный коллектор, проходящий по ул. Тимуровцев.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Отвод дождевых вод предусмотрен в проектируемый коллектор ливневой канализации по ул. Тимуровцев, далее сточные воды отводятся в существующий канализационный коллектор ливневой канализации, проходящий по ул. Советской Армии.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Отопление и горячее водоснабжение квартир осуществляется от индивидуальных газовых котлов, установленных на кухнях. Система отопления квартир принята лучевая от распределительных гребенок.  В ванных комнатах предусмотрена 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закольцовка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 трубопроводов для установки 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полотенцесушки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Отопление и горячее водоснабжение нежилых помещений – от индивидуальных газовых котлов.  Система отопления встроенных помещений - двухтрубная с нижней разводкой.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Проектом предусмотрена приточно-вытяжная вентиляция с естественным притоком воздуха и механической вытяжкой. Приток осуществляется через регулируемые клапаны инфильтрации воздуха, которые устанавливаются в наружных стенах жилых помещений в зоне действия отопительного прибора.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Проектом предусматривается обеспечение здания дома радиофикацией и телефонизацией.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7. Количество в составе многоквартирного 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дома самостоятельных частей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Многоквартирный жилой дом с нежилыми помещениями (2-я очередь строительства: 1-2 секция) включает в себя: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 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lastRenderedPageBreak/>
              <w:t>Квартир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: 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– 308, из них:</w:t>
            </w:r>
          </w:p>
          <w:p w:rsidR="00E445A4" w:rsidRPr="00E445A4" w:rsidRDefault="00E445A4" w:rsidP="00E445A4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Symbol" w:eastAsia="Times New Roman" w:hAnsi="Symbol" w:cs="Times New Roman"/>
                <w:lang w:eastAsia="ru-RU"/>
              </w:rPr>
              <w:t></w:t>
            </w:r>
            <w:r w:rsidRPr="00E445A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однокомнатных – 88 квартиры,</w:t>
            </w:r>
          </w:p>
          <w:p w:rsidR="00E445A4" w:rsidRPr="00E445A4" w:rsidRDefault="00E445A4" w:rsidP="00E445A4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Symbol" w:eastAsia="Times New Roman" w:hAnsi="Symbol" w:cs="Times New Roman"/>
                <w:lang w:eastAsia="ru-RU"/>
              </w:rPr>
              <w:t></w:t>
            </w:r>
            <w:r w:rsidRPr="00E445A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двухкомнатных – 127 квартир,</w:t>
            </w:r>
          </w:p>
          <w:p w:rsidR="00E445A4" w:rsidRPr="00E445A4" w:rsidRDefault="00E445A4" w:rsidP="00E445A4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Symbol" w:eastAsia="Times New Roman" w:hAnsi="Symbol" w:cs="Times New Roman"/>
                <w:lang w:eastAsia="ru-RU"/>
              </w:rPr>
              <w:t></w:t>
            </w:r>
            <w:r w:rsidRPr="00E445A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трехкомнатных – 93 квартир.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Нежилые помещения</w:t>
            </w:r>
            <w:r w:rsidRPr="00E445A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 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- 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Нежилые помещения (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внеквартирные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 xml:space="preserve"> хозяйственные кладовые) – 131.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8. Функциональное назначение нежилых помещений в строящемся многоквартирном доме, не входящих в состав общего имущества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Нежилые помещения на первом этаже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– без конкретной технологии (назначения) с возможностью размещения коммерческих и офисных помещений.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Нежилые помещения в техническом этаже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 – без конкретной технологии (назначения), в местах отсутствия коммуникаций предусматривается возможность размещения 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внеквартирных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хозяйственных кладовых.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Нежилые помещения на этажных площадках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 – 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внеквартирные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хозяйственные кладовые.</w:t>
            </w:r>
          </w:p>
        </w:tc>
      </w:tr>
      <w:tr w:rsidR="00E445A4" w:rsidRPr="00E445A4" w:rsidTr="00E445A4">
        <w:trPr>
          <w:trHeight w:val="2088"/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 Состав общего имущества в многоквартирном доме, которое будет находиться в общей долевой собственности участников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В состав общего имущества многоквартирного дома входят: инженерные коммуникации, помещения общего пользования, в том числе - лестницы, межквартирные лестничные площадки, лифты, лифтовые и иные шахты, коридоры, крыша и ограждающие несущие и ненесущие конструкции, земельный участок.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 Предполагаемый срок получения разрешения на ввод в эксплуатацию строящегося дома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val="en-US" w:eastAsia="ru-RU"/>
              </w:rPr>
              <w:t>IV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квартал 2018 г.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 Орган, уполномоченный в соответствии с законодательством о градостроительной деятельности на выдачу разрешения на ввод в эксплуатацию 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Администрация г. Рязани.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12. Возможные финансовые и прочие риски при осуществлении </w:t>
            </w: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проекта строительства и меры по добровольному страхованию Застройщиком таких рисков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Застройщик относит к рискам следующие обстоятельства:</w:t>
            </w:r>
          </w:p>
          <w:p w:rsidR="00E445A4" w:rsidRPr="00E445A4" w:rsidRDefault="00E445A4" w:rsidP="00E445A4">
            <w:pPr>
              <w:spacing w:after="0" w:line="240" w:lineRule="auto"/>
              <w:ind w:left="462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Symbol" w:eastAsia="Times New Roman" w:hAnsi="Symbol" w:cs="Times New Roman"/>
                <w:lang w:eastAsia="ru-RU"/>
              </w:rPr>
              <w:t></w:t>
            </w:r>
            <w:r w:rsidRPr="00E445A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издание нормативно-правового акта, а также действие либо бездействие государственных или местных органов власти, влияющие на ход строительства Дома;</w:t>
            </w:r>
          </w:p>
          <w:p w:rsidR="00E445A4" w:rsidRPr="00E445A4" w:rsidRDefault="00E445A4" w:rsidP="00E445A4">
            <w:pPr>
              <w:spacing w:after="0" w:line="240" w:lineRule="auto"/>
              <w:ind w:left="462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Symbol" w:eastAsia="Times New Roman" w:hAnsi="Symbol" w:cs="Times New Roman"/>
                <w:lang w:eastAsia="ru-RU"/>
              </w:rPr>
              <w:lastRenderedPageBreak/>
              <w:t></w:t>
            </w:r>
            <w:r w:rsidRPr="00E445A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мятеж, бунт, беспорядки, военные действия и иные общественные события;</w:t>
            </w:r>
          </w:p>
          <w:p w:rsidR="00E445A4" w:rsidRPr="00E445A4" w:rsidRDefault="00E445A4" w:rsidP="00E445A4">
            <w:pPr>
              <w:spacing w:after="0" w:line="240" w:lineRule="auto"/>
              <w:ind w:left="462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Symbol" w:eastAsia="Times New Roman" w:hAnsi="Symbol" w:cs="Times New Roman"/>
                <w:lang w:eastAsia="ru-RU"/>
              </w:rPr>
              <w:t></w:t>
            </w:r>
            <w:r w:rsidRPr="00E445A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пожары, наводнения, другие стихийные и природные бедствия, погодные условия, препятствующие ведению строительных работ и непосредственно влияющие на ход строительства;</w:t>
            </w: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br/>
              <w:t>любые аналогичные события и обстоятельства, выходящие за рамки контроля Застройщика.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Добровольное страхование на момент опубликования проектной декларации не осуществляется.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13. Планируемая стоимость строительства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940 870 000 рублей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 Перечень организаций, осуществляющих строительно-монтажные и другие работы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ООО «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СтройАльянс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»;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ООО «Восток»;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ООО «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Рязаньлифт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»;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ООО «Группа компаний «ЕДИНСТВО»;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Евтюхин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 xml:space="preserve"> А.Н.;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МБУ «Дирекция благоустройства города»;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МУП «Рязанские городские распределительные электрические сети»;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ОАО «</w:t>
            </w:r>
            <w:proofErr w:type="spellStart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РязаньГоргаз</w:t>
            </w:r>
            <w:proofErr w:type="spellEnd"/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»;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МП «Водоканал города Рязани»;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ПМЦ «Гриф».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 Способ обеспечений исполнений обязательств Застройщика по договорам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В соответствии с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РФ» (далее – «Закон») обеспечение обязательств по договорам участия в долевом строительстве осуществляется: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- залог – в порядке, установленном статьями 13-15 Закона;</w:t>
            </w:r>
          </w:p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- страхование гражданской ответственности Застройщика за неисполнение или ненадлежащее исполнение обязательств по передаче жилого помещения участнику долевого строительства по каждому договору в порядке, установленном </w:t>
            </w:r>
            <w:hyperlink r:id="rId5" w:history="1">
              <w:r w:rsidRPr="00E445A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статьей 15.2</w:t>
              </w:r>
            </w:hyperlink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 Закона.</w:t>
            </w:r>
          </w:p>
        </w:tc>
      </w:tr>
      <w:tr w:rsidR="00E445A4" w:rsidRPr="00E445A4" w:rsidTr="00E445A4">
        <w:trPr>
          <w:tblCellSpacing w:w="15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 Иные договоры и сделки на основании которых привлекаются денежные средства для строительства</w:t>
            </w:r>
          </w:p>
        </w:tc>
        <w:tc>
          <w:tcPr>
            <w:tcW w:w="4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445A4" w:rsidRPr="00E445A4" w:rsidRDefault="00E445A4" w:rsidP="00E44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5A4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</w:tbl>
    <w:p w:rsidR="00E445A4" w:rsidRPr="00E445A4" w:rsidRDefault="00E445A4" w:rsidP="00E445A4">
      <w:pPr>
        <w:spacing w:after="0" w:line="240" w:lineRule="auto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r w:rsidRPr="00E445A4">
        <w:rPr>
          <w:rFonts w:ascii="Calibri" w:eastAsia="Times New Roman" w:hAnsi="Calibri" w:cs="Calibri"/>
          <w:color w:val="60534C"/>
          <w:sz w:val="21"/>
          <w:szCs w:val="21"/>
          <w:lang w:eastAsia="ru-RU"/>
        </w:rPr>
        <w:t> </w:t>
      </w:r>
    </w:p>
    <w:p w:rsidR="009F5407" w:rsidRDefault="00E445A4" w:rsidP="00E445A4">
      <w:r w:rsidRPr="00E445A4">
        <w:rPr>
          <w:rFonts w:ascii="Calibri" w:eastAsia="Times New Roman" w:hAnsi="Calibri" w:cs="Calibri"/>
          <w:color w:val="60534C"/>
          <w:sz w:val="21"/>
          <w:szCs w:val="21"/>
          <w:lang w:eastAsia="ru-RU"/>
        </w:rPr>
        <w:br/>
        <w:t>31 декабря 2015 года.</w:t>
      </w:r>
      <w:r w:rsidRPr="00E445A4">
        <w:rPr>
          <w:rFonts w:ascii="Calibri" w:eastAsia="Times New Roman" w:hAnsi="Calibri" w:cs="Calibri"/>
          <w:color w:val="60534C"/>
          <w:sz w:val="21"/>
          <w:szCs w:val="21"/>
          <w:lang w:eastAsia="ru-RU"/>
        </w:rPr>
        <w:br/>
      </w:r>
    </w:p>
    <w:sectPr w:rsidR="009F5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5A4"/>
    <w:rsid w:val="009F5407"/>
    <w:rsid w:val="00E4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47DE5E-56A9-431C-B577-E44648A49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445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45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44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45A4"/>
    <w:rPr>
      <w:b/>
      <w:bCs/>
    </w:rPr>
  </w:style>
  <w:style w:type="character" w:customStyle="1" w:styleId="apple-converted-space">
    <w:name w:val="apple-converted-space"/>
    <w:basedOn w:val="a0"/>
    <w:rsid w:val="00E445A4"/>
  </w:style>
  <w:style w:type="character" w:styleId="a5">
    <w:name w:val="Emphasis"/>
    <w:basedOn w:val="a0"/>
    <w:uiPriority w:val="20"/>
    <w:qFormat/>
    <w:rsid w:val="00E445A4"/>
    <w:rPr>
      <w:i/>
      <w:iCs/>
    </w:rPr>
  </w:style>
  <w:style w:type="character" w:styleId="a6">
    <w:name w:val="Hyperlink"/>
    <w:basedOn w:val="a0"/>
    <w:uiPriority w:val="99"/>
    <w:semiHidden/>
    <w:unhideWhenUsed/>
    <w:rsid w:val="00E445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2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145187AAF29202C0525DB63FF0F033A5751D68194CC0D6DDBC30E3CE8662E9DF8AD8999n9tA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1882</Words>
  <Characters>10733</Characters>
  <Application>Microsoft Office Word</Application>
  <DocSecurity>0</DocSecurity>
  <Lines>89</Lines>
  <Paragraphs>25</Paragraphs>
  <ScaleCrop>false</ScaleCrop>
  <Company/>
  <LinksUpToDate>false</LinksUpToDate>
  <CharactersWithSpaces>12590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</dc:creator>
  <cp:keywords/>
  <dc:description/>
  <cp:lastModifiedBy>Jill</cp:lastModifiedBy>
  <cp:revision>1</cp:revision>
  <dcterms:created xsi:type="dcterms:W3CDTF">2017-06-12T20:50:00Z</dcterms:created>
  <dcterms:modified xsi:type="dcterms:W3CDTF">2017-06-12T20:50:00Z</dcterms:modified>
</cp:coreProperties>
</file>